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«Бахус» обратилось в Арбитражный суд Краснодарского края с иском о взыскании с общества с ограниченной ответственностью «Дебиторинвест» 88 745 рублей 33 копеек неосновательного обогащения. Решением Арбитражного суда Краснодарского края от 28.02.2020, принятым в порядке упрощенного производства, иск удовлетворен в части взыскания 45 065 рублей 22 копеек, в удовлетворении иска в остальной части отказано. Постановлением Пятнадцатого арбитражного апелляционного суда от 13.05.2020 решение суда оставлено без изменения. Арбитражный суд Северо-Кавказского округа постановлением от 27.08.2020 указанные судебные акты отменил и в удовлетворении иска отказал. Общество с ограниченной ответственностью «Бахус» обратилось в Судебную коллегию Верховного Суда Российской Федерации с кассационной 2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акты, окружной суд руководствовался положениями статей 1102, 1105 Гражданского кодекса Российской Федерации и исходил, с учетом установленных фактических обстоятельств в деле № А40-191919/2015, из отсутствия на стороне ответчика неосновательного обогащения. С учетом установленных фактических обстоятельств доводы жалобы выводы окружного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«Бахус»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