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24.12.2019 в удовлетворении первоначального иска отказано, встречный иск удовлетворен. Дополнительным решением от 04.03.2020 с клиники в пользу фирмы взыскано 48 000 рублей в возмещение расходов на экспертизу. Постановлением Тринадцатого арбитражного апелляционного суда от 02.06.2020, оставленным без изменения постановлением Арбитражного суда Северо-Западного округа от 24.08.2020, решение и дополнительное решение отменены, первоначальный иск удовлетворен частично, в удовлетворении встречного иска отказано. В кассационной жалобе фирма просит об отмене судебных актов апелляционного и окружного судов, ссылаясь на неправильную правовую квалификацию договоров, несоответствие имеющимся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фирмы о неправомерном непризнании наличия у договоров характера агентских опровергнут установленными содержанием обязательств и обстоятельствами исполнения договоров. Вывод судов о том, что в обязанности клиники входит оплата только фактически оказанных услуг соответствует статьям 779 , 781 Гражданского кодекса Российской Федерации. Апелляционный суд установил оказание услуг в неполном объеме и отсутствие у оказанного объема услуг потребительской ценности для истца, поэтому удовлетворил требования клиники. Обстоятельства исполнения сторонами договоров исследованы судами и не подлежат переоценке на стадии кассационного производства.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«Юридическая фирма «ЭкоПрофи»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"Клиника эстетической хирургии"Абриелль" (подробнее) Ответчики: ООО "ЮРИДИЧЕСКАЯ ФИРМА "ЭКОПРОФИ" (подробнее) Иные лица: АО "АКГ "РБС" (подробнее) ООО "Галс" (подробнее) ООО "Группа Финансы" (подробнее) ООО "ЖКС КРОН" (подробнее) ООО "Консалт-Аудит" (подробнее) ООО "Межрегиональная аудиторская компания" (подробнее) ООО "Центр налоговых экспертиз и аудита"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