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о перемене лиц в обязательстве (цессии и переводе долга) от 29.01.2015, заключенного между должником, акционерными обществами «Интертрансстрой Групп» (далее – заёмщик) и «ИНТЕРПРОГРЕССБАНК» (далее – банк) в соответствии с пунктом 2 статьи 61.2 Федерального закона от 26.10.2002 № 127-ФЗ «О несостоятельности (банкротстве)» (далее – Закон о банкротстве); применении последствий ее недействительности. Определением Арбитражного суда города Москвы от 21.11.2019, оставленным без изменения постановлениями Девятого арбитражного апелляционного суда от 14.02.2020 и Арбитражного суда Московского округа от 25.06.2020, в удовлетворении заявления отказано. В кассационных жалобах, поданных в Верховный Суд Российской Федерации, заявители просят отменить указанные судебные акты и принять по делу новый судебный акт об удовлетворении заявления. Письмом Верховного суда Российской Федерации от 25.09.2020 материалы дела № А40-181700/2017, касающиеся данного спора, были истребованы в Арбитражном суде города Москвы.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суды руководствовались статьями 167, 391 Гражданского кодекса Российской Федерации, пунктом 2 статьи 61.2 Закона о банкротстве, пунктами 4 – 7, 12.2, 25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применительно к фактическим обстоятельствам дела признали сделку совершённой в рамках обычной хозяйственной деятельности при отсутствии признаков несостоятельности должника, указав на недоказанность совокупности условий для признания её недействительной по заявленному основанию.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«Интертранстрой» Куликову Алексею Константиновичу и потребительскому обществу социальных программ «НАЦИОНАЛЬНЫЕ ИНВЕСТИЦИИ»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