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исходя из положений статьи 102 Арбитражного процессуального кодекса Российской Федерации, пункта 2 статьи 333.22 Налогового кодекса Российской Федерации, учитывая разъяснения, данные в пункте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пошлине», при наличии соответствующего обоснования с приложением документов, свидетельствующих о том, что имущественное положение заинтересованной стороны не позволяет ей уплатить государственную пошлину в установленном размере при обращении в суд, ходатайство о предоставлении отсрочки ее уплаты подлежит удовлетворению. На основании изложенного, руководствуясь статьями 102 , 184 Арбитражного процессуального кодекса Российской Федерации, статьями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предоставить индивидуальному предпринимателю ФИО2 отсрочку уплаты государственной пошлины до окончания производства по поданной им кассационной жалобе. Судья Самуйлов С.В. Суд: Верховный Суд РФ (подробнее) Судьи дела: Самуйлов С.В. (судья) (подробнее) Последние документы по делу: Определение от 10 декабря 2020 г. по делу № А13-1338/2018 Определение от 26 ноября 2019 г. по делу № А13-1338/2018 Определение от 1 октября 2019 г. по делу № А13-1338/2018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