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20.12.2019, оставленным без изменения постановлением Одиннадцатого арбитражного апелляционного суда от 09.07.2020, в удовлетворении первоначального иска отказано, по встречному иску взыскано 400 000 рублей задолженности и 21 900 рублей пеней. Арбитражный суд Поволжского округа постановлением от 29.09.2020 решение от 20.12.2019 и постановление Одиннадцатого арбитражного апелляционного суда от 09.07.2020 оставил без изменения. В кассационной жалобе общество «Металлоторг» просит об отмене судебных актов, ссылаясь на несоотносимость с допущенной просрочкой направления заявления о прекращении договора примененных последствий и игнорирование злоупотребления ответчиком правом.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соответствии с пунктом 1 статьи 450 Гражданского кодекса Российской Федерации изменение и расторжение договора возможны по соглашению сторон, если иное не предусмотрено настоящим Кодексом, другими законами или договором. Суды установили, что порядок прекращения договора 01.05.2018 № 83/Т по истечении срока его действия согласован сторонами и не соблюден обществом «Металлоторг», поэтому в спорный период договор в соответствии с его условиями признан действующим и подлежащим исполнению.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«Металлоторг»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