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обратился в Верховный Суд Российской Федерации с кассационной жалобой, одновременно ходатайствуя о восстановлении пропущенного срока её подачи. Рассмотрев ходатайство о восстановлении процессуального срока, суд находит его обоснованным и подлежащим удовлетворению. Руководствуясь статьями 117 , 184 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срок подачи кассационной жалобы на постановление Арбитражного суда Московского округа от 02.10.2019 по делу № А40-181700/2017 Арбитражного суда города Москвы восстановить. Судья Е.С. Корнелюк Суд: Верховный Суд РФ (подробнее) Судьи дела: Корнелюк Е.С. (судья) (подробнее) Последние документы по делу: Определение от 10 декабря 2020 г. по делу № А40-181700/2017 Определение от 17 февраля 2020 г. по делу № А40-181700/2017 Определение от 19 декабря 2019 г. по делу № А40-181700/2017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