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10 декабря 2020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предприятие обратилось в Верховный Суд Российской Федерации с кассационной жалобой на вышеуказанные судебные акты, одновременно заявив ходатайство об отсрочке уплаты государственной пошлины. Условия и порядок предоставления отсрочки уплаты государственной пошлины установлены статьей 102 Арбитражного процессуального кодекса Российской Федерации, статьей 64 , пунктом 2 статьи 333.22 и пунктом 1 статьи 333.41 Налогового кодекса Российской Федерации. Оценив доводы, изложенные заявителем в ходатайстве, и приложенные к нему документы, судья приходит к выводу о наличии оснований для удовлетворения заявленного ходатайства, поскольку заявителем представлены доказательства отсутствия у него возможности уплатить государственную пошлину в установленном порядке и размере при обращении с настоящей кассационной жалобой. Руководствуясь статьями 184 , 185 Арбитражного процессуального кодекса Российской Федерации, статьями 333.22 , 333.41 Налогового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ходатайство муниципального унитарного предприятия «Водоканал» муниципального образования «Город Биробиджан» об отсрочке уплаты государственной пошлины за рассмотрение кассационной жалобы удовлетворить. Предоставить муниципальному унитарному предприятию «Водоканал» муниципального образования «Город Биробиджан» отсрочку уплаты государственной пошлины до окончания производства по кассационной жалобе на решение Арбитражного суда Еврейской автономной области от 21.01.2020, постановление Шестого арбитражного апелляционного суда от 15.05.2020 и постановление Арбитражного суда Дальневосточного округа от 18.08.2020 по делу № А16-2581/2019. Судья Верховного СудаРоссийской Федерации Д.В. Тютин Суд: Верховный Суд РФ (подробнее) Истцы: МУП "Водоканал" муниципального образования "Город Биробиджан" (подробнее) Ответчики: Управление Федеральной антимонопольной службы по Еврейской автономной области (подробнее) Последние документы по делу: Определение от 10 декабря 2020 г. по делу № А16-2581/2019 Определение от 20 октября 2020 г. по делу № А16-2581/2019 Показать все документы по этому делу</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