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27.02.2020, оставленным без изменения постановлениями Десятого арбитражного апелляционного суда от 25.05.2020 и Арбитражного суда Московского округа от 26.08.2020,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вынесения оспариваемого предписания послужил вывод управления о нарушении обществом требований пункта 23 Правил противопожарного режима Российской Федерации, утвержденных постановлением Правительства Российской Федерации от 25.04.2012 № 390 (далее - Правила противопожарного режима), что выразилось в допущении устройства кладовых помещений (бытовок) в объеме лифтовых холлов на этажах. Признавая предписание управления законным, суды, оценив представленные в материалы дела доказательства, руководствуясь положениями статьи 161 Жилищного кодекса Российской Федерации, Федерального закона от 21.12.1994 № 69-ФЗ «О пожарной безопасности», Правилами противопожарного режима, пришли к выводу о доказанности наличия вменяемого нарушения со стороны общества, которое приняв на себя обязательства по управлению многоквартирным домом и обеспечению безопасных условий проживания в нем, должно нести ответственность за соблюдение противопожарных требований. Доводы, изложенные в кассационной жалобе, являлись предметом рассмотрения судов и получили надлежащую правовую оценку.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«ЮИТ-Сервис»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"ЮИТ-Сервис" (подробнее) Ответчики: ГУ МЧС РОССИИ ПО МО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