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02.03.2020, оставленным без изменения постановлением Пятого арбитражного апелляционного суда от 27.05.2020, в удовлетворении заявленных требований отказано. Постановлением Арбитражного суда Дальневосточного округа от 28.08.2020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обществом при декларировании товара приведены не все сведения о товаре, которые влияют на исчисление таможенных платежей. Частью 2 статьи 16.2 Кодекса Российской Федерации об административных правонарушениях предусмотрена административная ответственности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Таможенного кодекса Евразийского экономического союза, Постановления Правительства Российской Федерации от 31.12.2004 №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 исходя из разъяснений, содержащихся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суды пришли к выводу о доказанности таможенным органом в действиях общества состава правонарушения, ответственность за совершение которого предусмотрена частью 2 статьи 16.2 Кодекса Российской Федерации об административных правонарушениях. Обществом не были приняты все зависящие от него меры в целях соблюдения правил и норм, определяющих порядок декларирования товаров, при этом не представлено доказательств, свидетельствующих об отсутствии для этого объективной возможности.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судами не установлено. Доводы жалобы были предметом исследования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"АСТРАЛАЙН"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