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25.02.2020, оставленным без изменения постановлением Одиннадцатого арбитражного апелляционного суда от 05.06.2020, в удовлетворении требования отказано. Постановлением Арбитражного суда Поволжского округа от 10.09.2020 указанные судебные акты оставлены без изменения. Управление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04.05.2011 № 99-ФЗ «О лицензировании отдельных видов деятельности», Жилищного кодекса Российской Федерации, суды отказали в удовлетворении требований, признав не доказанным факт нарушений лицензионных требований, санкцией за которые могло быть аннулирование лицензии. Выводы судов соответствуют правовой позиции, изложенной в определении Верховного Суда РФ от 30.01.2020 № 306-ЭС19-17580. Приведенные в жалобе доводы, идентичные изложенным в обоснование позиции предпринимателя при рассмотрении дела, подробно исследованы судами и им дана соответствующая правовая оценка.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Госжилстройтехинспекция Пензенской области (подробнее) Управление государственной инспекции в жилищной, строительной сферах и по надзору за техническим состоянием самоходных машин и других видов техники Пензенской области (подробнее) Ответчики: ООО Управляющая компания "Перспектива+"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