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12.08.2019, оставленным без изменения постановлением Четвертого арбитражного апелляционного суда от 12.03.2020 и постановлением Арбитражного суда Восточно-Сибирского округа от 14.08.2020,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(подрядчик) заключен государственный контракт от 16.04.2018 № 20-р, в соответствии с которым подрядчик обязуется разработать проектную и рабочую документацию по объекту «Капитальный ремонт автомобильной дороги Улан-Удэ - Романовка - Чита, км 16 - км 26 в Заиграевском районе Республики Бурятия». В связи с неисполнением календарного графика выполнения работ, обязательств по разработке проектной и рабочей документации, отсутствием положительного заключения государственной экспертизы проектной и рабочей документации, заказчик принял решение от 07.02.2019 об отказе от исполнения контракта и направил соответствующую информацию в антимонопольный орган о включении общества в реестр недобросовестных поставщиков. По итогам рассмотрения указанной информации управлением принято решение о внесении общества в реестр недобросовестных поставщиков на два года. Не согласившись с решением управления, общество обратилось в арбитражный суд. Исследовав и оценив представленные в материалы дела доказательства, суды трех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пришли к выводу о том, что оспариваемое решение управления соответствует положениям действующего законодательства и не нарушает права и законные интересы заявителя. Судебные инстанции согласились с выводами антимонопольного органа о недобросовестном характере действий (бездействий) заявителя при заключении государственного контракта. В ходе исследования обстоятельств дела суды установили, что отказываясь от расторжения контракта по соглашению сторон и подтверждая 3 возможность предоставления проектной документации со всеми согласованиями в срок до 20.10.2018, общество знало о невозможности выполнения указанных работ в установленный срок. При этом к сроку окончания работ (04.02.2019), определенному контрактом, работы подрядчиком в полном объеме не выполнены. Также работы не были выполнены по состоянию на 19.03.2019, то есть в десятидневный срок для устранения нарушения условий контракта со дня уведомления подрядчика об одностороннем отказе заказчика от исполнения контракта. Отклоняя довод заявителя о неисполнимости условий контракта, суды отметили, что действия заказчика при согласовании программы по инженерно- геодезическим и инженерно-геологическим изысканиям, приемке полевых работ не повлекли нарушение сроков выполнения работ. При рассмотрении доводов заявителя судами дана оценка условиям контракта, техническому заданию; доказательств подтверждающих необходимость выполнения большего объема работ, обществом не представлено.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