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16.08.2016 должник, в отношении которого применены правила параграфа 7 главы IX Федерального закона от 26.10.2002 № 127-ФЗ «О несостоятельности (банкротстве)» (далее – Закон о банкротстве), признан несостоятельным (банкротом), открыто конкурсное производство, утверждён конкурсный управляющий. Определением Арбитражного суда Новосибирской области от 29.01.2020, оставленным без изменения постановлениями Седьмого арбитражного апелляционного суда от 18.06.2020 и Арбитражного суда Западно-Сибирского округа от 24.09.2020, конкурсное производство в отношении должника завершено.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суда Новосибирской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Завершая процедуру конкурсного производства, суд первой инстанции руководствовался статьями 129, 143, 147, 149 Закона о банкротстве и исходил из того, что предусмотренные законодательством о банкротстве мероприятия проведены в полном объёме и надлежащим образом завершены, в том числе, путём взыскания и реализации дебиторской задолженности, привлечения контролирующего должника лица к ответственности, установив отсутствие возможности формирования конкурсной массы, удовлетворения требований кредиторов, а также возражений кредиторов по завершению названной процедуры банкротства. Суды апелляционной инстанции и округа поддержали данные выводы.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Набатовой Людмиле Васильевне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