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«АМР» обратилось в суд с ходатайством о привлечении его к участию в настоящем деле о банкротстве должника в качестве третьего лица, не заявляющего самостоятельных требований относительно предмета спора. Определением Арбитражного суда Приморского края от 27.08.2020, оставленным без изменения постановлением Пятого арбитражного апелляционного суда от 30.09.2020, в удовлетворении ходатайства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ходатайства, суд первой инстанции руководствовался статьёй 51 Арбитражного процессуального кодекса 2 Российской Федерации, статьями 34, 35 Федерального закона от 26.10.2002 № 127-ФЗ «О несостоятельности (банкротстве)», пунктами 14, 15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 из того, что возможность привлечения третьих лиц, не заявляющих самостоятельных требований относительно предмета спора законодательством о банкротстве (за исключением участия в отдельных обособленных спорах) не предусмотрена, а доказательств наличия у заявителя статуса кредитора должника в материалы дела не представлено, с чем впоследствии согласился апелляционный суд. Выводы судов соответствуют нормам права, оснований для переоценки этих выводов не имеется.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