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09.12.2019, оставленным без изменения постановлением Семнадцатого арбитражного апелляционного суда от 21.02.2020 и постановлением Арбитражного суда Уральского округа от 07.08.2020, в удовлетворении исковых требований отказано. В кассационной жалобе, поданной в Верховный Суд Российской Федерации, объединение,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концерн (заказчик) и фирма (подрядчик) 16.03.2015 заключили договор подряда № 21-15-53/02-939 (в редакции дополнительных соглашений; далее – договор), по условиям которого подрядчик обязался обеспечить надзор и руководство при проведении ремонтных и пусконаладочных работ оборудования зажигательного горна и системы автоматического розжига горелок зажигательного горна, а также участие в подготовке и проведении гарантийных испытаний. Во исполнение условий договора заказчик произвел предварительную оплату, перечислив на расчетный счет подрядчика 1 030 400 руб. Исковые требования заказчика мотивированы тем, что подрядчик не исполнил обязательства в установленный договором срок. Отказывая в удовлетворении исковых требований, суд первой инстанции руководствовался статьями 702, 715, 720 Гражданского кодекса Российской Федерации и исходил из подтвержденности факта выполнения подрядчиком работ по договору. Повторно исследовав и оценив представленные в материалы дела доказательства, суд апелляционной инстанции квалифицировал правоотношения сторон как возмездное оказание услуг, установил факт оказания ответчиком услуг по договору, направления им акта приемки-сдачи работ в адрес истца, который в нарушение условий договора не организовал приемку услуг (работ), проверку их качества и не обосновал отказ от подписания акта. Исходя из того, что сумма предварительной оплаты освоена ответчиком в полном объеме; истец не уведомлял ответчика об отказе от исполнения договора и не доказал существенных нарушений последним его условий, руководствуясь статьями 421, 450, 715, 720, 753, 779, 781, 783 Гражданского кодекса Российской Федерации, апелляционный суд согласился с выводом суда первой инстанции об отсутствии оснований для удовлетворения исковых требований. Впоследствии названный вывод поддержал суд округа. Доводы заявителя о некачественном оказании ответчиком услуг, а также о необоснованном отказе суда апелляционной инстанции в удовлетворении 3 ходатайства о приобщении дополнительных доказательств были предметом рассмотрения суда округа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«Внешнеэкономическое объединение «Тяжпромэкспорт»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