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общества на указанный судебный акт возвращена письмом Верховного Суда Российской Федерации без рассмотрения по существу на основании статьи 291.5 Арбитражного процессуального кодекса Российской Федерации в связи с нарушением при ее подаче требований, установленных пунктом 3 части 5 статьи 291.3 АПК РФ (не приложены документы, подтверждающие полномочия на подписание кассационной жалобы). Повторная кассационная жалоба подана обществом посредством заполнения формы, размещенной на официальном сайте суда в информационно-телекоммуникационной сети «Интернет», 03.12.2020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2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Обжалуемым судебным актом по делу № А33-30170/2019 является постановление Арбитражного суда Восточно-Сибирского округа от 16.09.2020, вступившее в законную силу, согласно части 5 статьи 289 АПК РФ, со дня его принятия – 16.09.2020, следовательно, двухмесячный срок на подачу кассационной жалобы истек 16.11.2020, тогда как жалоба подана 03.12.2020.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указано устранение обстоятельств, послуживших основанием для возвращения первоначально поданной кассационной жалобы. Между тем, указанное обстоятельство не является причиной, не зависящей от лица, обратившегося с жалобой, и не является уважительной причиной пропуска срока, установленного статьей 291.2 АПК РФ. Ненадлежащая подача первоначальной кассационной жалобы (отсутствие документов, подтверждающих полномочия на подписание кассационной жалобы) и последующий возврат жалобы не могут продлевать процессуальный срок подачи кассационной жалобы в Судебную коллегию Верховного Суда Российской Федерации.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восстанавливается в случае его пропуска по причинам, не зависящим от лица, обратившегося с жалобой. Надлежащее оформление кассационной жалобы и ее своевременная подача зависят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3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«ТК Русь» о восстановлении пропущенного процессуального срока подачи жалобы на постановление Арбитражного суда Восточно- Сибирского округа от 16.09.2020 по делу № А33-30170/2019 Арбитражного суда Красноярского края. Жалобу общества с ограниченной ответственностью «ТК Русь»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