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16.12.2019, оставленным без изменения постановлением Тринадцатого арбитражного апелляционного суда от 26.05.2020, заявленное требование удовлетворено. Постановлением Арбитражного суда Северо-Западного округа от 08.09.2020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проведения внеплановой выездной проверки соблюдения обществом требований жилищного законодательства при осуществлении деятельности по управлению многоквартирным домом, расположенным по адресу: Калининград, улица Аксакова, дом 127, министерством установлено, что на потолке балконной плиты в квартире, расположенной на 7 этаже указанного дома, имеются темные пятна, в местах пятен нарушены окрасочный и шпаклевочный слои. Предписанием министерства на общество возложена обязанность устранить выявленные нарушения в срок до 01.07.2018 путем ликвидации протечки, а также восстановления штукатурного и окрасочного слоев на потолке балконной плиты. Не согласившись с ненормативным актом, общество обратилось в арбитражный суд. Удовлетворяя заявленное требование, суды первой и апелляционной инстанций исходили из того, что помещение лоджии не относится к общему имуществу многоквартирного дома, в связи с чем на общество не может быть возложена обязанность по устранению указанных повреждений. Суд кассационной инстанции счел выводы судов ошибочными. Отказывая в удовлетворении заявления общества, суд округа, руководствуясь положениями статьи 161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Госстроя России от 27.09.2003 № 170, пришел к выводу о том, что оспариваемое предписание соответствует нормам жилищного законодательства и не нарушает права и законные интересы заявителя. При этом суд кассационной инстанции исходил из того, что возложение на общество обязанности выполнить ремонт, не допуская дальнейшего развития повреждений, является правомерным, поскольку балконная плита входит в состав общего имущества дома, ответственность за надлежащее содержание которого несет управляющая организация. Доводы кассационной жалобы основаны на ошибочном толковании норм права,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3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«Нептун»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