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02.11.2020 с ходатайством о восстановлении срока. Пропуск срока на подачу жалобы общество считает обусловленным переводом работников на удаленный режим работы в связи с распространением коронавирусной инфекции. Указанные обстоятельства не свидетельствуют о наличии требуемых для восстановления срока частью 2 статьи 291.2 Арбитражного процессуального кодекса Российской Федерации объективных препятствий своевременного обращения с кассационной жалобой, учитывая избранный обществом электронный способ подачи жалобы. В связи с тем, что обозначенная причина не создает основания к восстановлению срока, в удовлетворении ходатайства о нем следует отказать. В связи с подачей документов в электронном виде кассационная жалоба и уплаченная за ее подачу государственная пошлина с настоящим определением не возвращаются. Руководствуясь статьей 184, статьей 291.2, пунктом 3 части 1 статьи 291.5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«Хлебообъединение «Восход» в восстановлении срока подачи кассационной жалобы на решение Арбитражного суда Новосибирской области от 21.01.2020 по делу № А45-21292/2019, постановление Седьмого арбитражного апелляционного суда от 21.05.2020 и постановление Арбитражного суда Западно-Сибирского округа от 17.08.2020 по тому же делу. Кассационную жалобу акционерного общества «Хлебообъединение «Восход»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