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«Группа компаний «Титан» обратилось в Арбитражный суд города Москвы с иском, уточненным в порядке статьи 49 Арбитражного процессуального кодекса Российской Федерации, о солидарном взыскании с акционерного общества «Рязанская нефтеперерабатывающая компания» (ранее – ЗАО «Рязанская нефтеперерабатывающая компания») и общества с ограниченной ответственностью «Экоойл» (заменившего в порядке правопреемства ЗАО «Экоойл») 230 170 395 рублей 02 копеек неосновательного обогащения и 31 079 311 рублей 63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«Омский каучук». К участию в деле в качестве соистца привлечено общество с ограниченной ответственностью «Нефахим». 2 Решением Арбитражного суда города Москвы от 11.07.2017 в удовлетворении иска отказано. Постановлением Девятого арбитражного апелляционного суда от 30.11.2017 решение суда оставлено без изменения. Постановлением Арбитражного суда Московского округа от 21.03.2018 указанные судебные акты отменены и дело направлено на новое рассмотрение в Арбитражный суд города Москвы. При новом рассмотрении дела принят отказ истцов от иска к акционерному обществу «Рязанская нефтеперерабатывающая компания» и в указанной части производство по делу прекращено. Акционерное общество «Рязанская нефтеперерабатывающая компания» привлечено к участию в деле в качестве третьего лица, не заявляющего самостоятельных требований относительно предмета спора. Решением Арбитражного суда города Москвы от 07.11.2019 иск удовлетворен. С ООО «Экоойл» в пользу ООО «Нефахим» взыскано 230 170 395 рублей 02 копейки неосновательного обогащения и 31 079 311 рублей 63 копейки процентов за пользование чужими денежными средствами. В удовлетворении иска АО «ГК «Титан» отказано. Постановлением Девятого арбитражного апелляционного суда от 10.02.2020 решение суда оставлено без изменения. Арбитражный суд Московского округа постановлением от 25.08.2020 указанные судебные акты оставил без изменения. Общество с ограниченной ответственностью «Экоойл» обратилось в Судебную коллегию Верховного Суда Российской Федерации с кассационной жалобой на принятые при новом рассмотрении дела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3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195, 199, 202, 1102, 1105 Гражданского кодекса Российской Федерации, суды пришли к выводу о доказанности наличия на стороне ответчика неосновательного обогащения, признав срок исковой давности по заявленным требованиям не пропущенным. С учетом установленных судами фактических обстоятельств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«Экоойл»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