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12.03.2020, оставленным без изменения постановлением Двенадцатого арбитражного апелляционного суда от 13.05.2020, в иске отказано. Постановлением Арбитражного суда Поволжского округа от 19.08.2020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иске, установив факт невыполнения работ и несоблюдения обществом как исполнителем установленных контрактом сроков, и признав правомерным односторонний отказ заказчика от исполнения контракта. Доводы кассационной жалобы, в том числе, о нарушении сроков исполнения контракта по вине заказчика, были предметом исследования судов и получили исчерпывающую правовую оценку,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