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18.03.2020, оставленным без изменения постановлением Шестого арбитражного апелляционного суда от 28.05.2020, в удовлетворении требования отказано. Постановлением Арбитражного суда Дальневосточного округа от 28.08.2020 указанные судебные акты оставлены без изменения. Учреждение обратилось в Верховный Суд Российской Федерации с кассационной жалобой, в которой просит обжалуемые судебные акты отменить, считая их незаконными. При изучении доводов жалобы, дополнения к ней, и принятых по делу судебных актов,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учреждением требований к оборудованию и техническому оснащению необходимых для организации ветеринарного контроля объектов в пунктах пропуска через Государственную границу Российской Федерации. Частью 1 статьи 10.6 Кодекса Российской Федерации об административных правонарушениях установлена ответственность за нарушение правил карантина животных или других ветеринарно-санитарных правил, за исключением случаев, предусмотренных частью 2 настоящей статьи. Оценив представленные доказательства, руководствуясь положениями статьи 14 Закона Российской Федерации от 14.05.1993 № 4979-1 «О ветеринарии», статьи 9 Закона Российской Федерации от 01.04.1993 № 4730-1 «О государственной границе Российской Федерации», Типовых требований к оборудованию и техническому оснащению зданий, помещений и сооружений, необходимых для организации ветеринарного контроля, осуществляемого в пунктах пропуска через государственную границу Российской Федерации, утвержденных Минсельхозом России 23.06.2008 № 270, Постановления 3 Правительства РФ от 26.06.2008 № 482 «Об утверждении Правил установления, открытия, функционирования (эксплуатации), реконструкции и закрытия пунктов пропуска через государственную границу Российской Федерации», суды пришли к выводу о доказанности административным органом в действиях учреждения состава правонарушения, ответственность за совершение которого установлена частью 1 статьи 10.6 Кодекса Российской Федерации об административных правонарушениях, признав, что учреждение является лицом, обязанным обустроить пункт пропуска через Государственную границу Российской Федерации в соответствии с установленными ветеринарными требованиями (в том числе с оснащением дезинфекционными барьерами), в также установив, что пути передвижения пассажиров, животных и поднадзорной продукции совпадают. Приведенные в жалобе доводы, идентичные изложенным в обоснование позиции учреждения при рассмотрении дела, нашли свое отражение в обжалуемых судебных актах.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 в силу статьи 291.6 Арбитражного процессуального кодекса Российской Федерации, в жалобе не приведено.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