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20.12.2019, оставленным без изменения постановлением Десятого арбитражного апелляционного суда от 12.03.2020, в удовлетворении требования отказано. Постановлением Арбитражного суда Северо-Западного округа от 20.08.2020 указанные судебные акты оставлены без изменения. 2 Общество просит обжалуемые судебные акты отменить, считая их принятыми с существенным нарушением норм материального права и (или)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24, 38, 78, 208, 209, 226 Налогового кодекса Российской Федерации, статьи 2 Гражданского кодекса Российской Федерации, суды отказали в удовлетворении требований, признав, что экономическая выгода в виде полученного денежного дохода работника является объектом обложения налогом на доходы физических лиц. Доводы кассационной жалобы были предметом исследования судов и получили исчерпывающую правовую оценку, не согласиться с которой оснований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