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Ставропольского края от 10.02.2020, оставленным без изменения постановлением Шестнадцатого арбитражного апелляционного суда от 26.05.2020, иск удовлетворен. 2 Постановлением Арбитражного суда Северо-Кавказского округа от 18.08.2020 указанные судебные акты оставлены без изменения. Ответчик просит обжалуемые судебные акты отменить, считая их принятыми с существенным нарушением норм материального права и (или) норм процессуального права.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статей 4 и 7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суды удовлетворили иск, признав, что многоквартирный дом соответствует требованиям действующих градостроительных, санитарных, противопожарных норм, а выполненные в квартирах работы и примененные материалы соответствуют условиям контракта. Доводы кассационной жалобы были предметом исследования судов и получили исчерпывающую правовую оценку с учетом представленных в материалы дела доказательств и характеристик предмета закупки, не согласиться с которой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Учитывая изложенное и руководствуясь статьями 291.1, 291.6, 291.8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