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30.10.2019, оставленным без изменения постановлением Девятого арбитражного апелляционного суда от 17.02.2020, в иске отказано. Постановлением Арбитражного суда Московского округа от 20.08.2020 указанные судебные акты оставлены без изменения. 2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15, 393 Гражданского кодекса Российской Федерации, разъяснениями, изложенными в пунктах 2 и 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иске, признав, что обществом не доказано наличие совокупности условий, необходимых для возмещения упущенной выгоды. Доводы заявителя являлись предметом исследования судов и отклонены со ссылкой на применимые к спорным отношениям нормы права и установленные судами обстоятельства дела.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