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14.02.2020, оставленным без изменения постановлением Тринадцатого арбитражного апелляционного суда от 08.06.2020, заявленные требования удовлетворены. 2 Постановлением Арбитражного суда Северо-Западного округа от 17.08.2020 указанные судебные акты отменены, в удовлетворении заявленного требования отказано. Общество обратилось в Верховный Суд Российской Федерации с кассационной жалобой, в которой просит постановление суда округа отменить, считая его принятым с нарушением норм материального и процессуального права. Исходя из доводов жалобы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при проведении осмотра выявлены нарушения, выразившиеся в производстве обществом работ по укладке электрического кабеля после истечения срока действия ордера, выданного уполномоченным органом. Пунктом 2 статьи 14 Закона № 273-70 установлена ответственность за неисполнение обязанности по переоформлению ордера, либо производство работ после окончания срока действия ордера, либо нарушение сроков производства работ, либо невосстановление объектов благоустройства, элементов благоустройства, нарушенных в результате производства работ после их завершения и окончания срока действия ордера, либо невосстановление после завершения работ объектов благоустройства, элементов благоустройства, нарушенных в результате производства работ без ордера, а также работ, производство которых разрешено без ордера. Отменяя решение суда первой инстанции и постановление суда апелляционной инстанции, суд округа руководствовался положениями пункта 1.2 Правил благоустройства территории Санкт-Петербурга в части, касающейся правил производства земляных, ремонтных и отдельных работ, связанных с благоустройством территории Санкт-Петербурга, утвержденных постановлением Правительства Санкт-Петербурга от 06.10.2016 № 875, пунктов 10, 10.1 статьи 1 Градостроительного кодекса Российской Федерации, 3 и исходил из доказанности административным органом в действиях общества состава правонарушения, ответственность за совершение которого установлена пунктом 2 статьи 14 Закона № 273-70, с учетом установленной категории и статуса земельного участка. Процедура и срок давности привлечения к ответственности соблюдены, штраф назначен в пределах санкции нормы. Оснований для признания правонарушения малозначительным и применения статьи 2.9 Кодекса Российской Федерации об административных правонарушениях не установлено. Доводы жалобы направлены на переоценку доказательств и установление иных фактических обстоятельств дела, что само по себе не может являться основанием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