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11.12.2019, оставленным без изменения постановлениями Пятнадцатого арбитражного апелляционного суда от 23.05.2020 и Арбитражного суда Северо-Кавказского округа от 31.08.2020, в удовлетворении заявленных требований отказано. В жалобе отдел ставит вопрос об отмене принятых по делу судебных актов, ссылаясь на нарушение судами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жалобы общества на действия отдела (заказчик) при проведении электронного аукциона: «Приобретение жилого помещения (квартиры)», выразившиеся в отказе от подписания контракта, антимонопольным органом принято решение. Управление признало заказчика нарушившим законодательство в сфере закупок товаров, работ, услуг для обеспечения государственных и муниципальных нужд по причине необоснованного отказа обществу в подписании контракта. На основании решения антимонопольного органа отделу выдано предписание от 15.07.2019 № 296. Не соглашаясь с указанными ненормативными актами, отдел обратился в арбитражный суд с заявлением о признании их недействительными. Исследовав и оценив представленные в материалы дела доказательства в соответствии со статьей 71 Арбитражного процессуального кодекса Российской Федерации, руководствуясь положениями статьи 185 Гражданского кодекса Российской Федерации, части 3 статьи 27, статей 34, 83.2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суды пришли к выводу о том, что оспариваемые ненормативные акты соответствуют законодательству и не нарушают права и интересы заявителя. Судебные инстанции исходили из того, что общество имело полномочия на участие в аукционе и заключение договора купли-продажи квартиры от имени собственника квартиры (Кулинин А.Е.), в связи с чем контракт должен был быть заключен между заказчиком и обществом в лице директора на основании доверенности в интересах собственника жилья. При исследовании обстоятельств дела установлено, что вышеуказанная доверенность и свидетельство о регистрации права собственности входили в состав второй части заявки участника закупки, которая была оценена заказчиком как соответствующая требованиям аукционной документации и 3 Закона о контрактной системе, в связи с чем суды признали, что заказчик принял и согласился с данными условиями. Доводы, изложенные в кассационной жалобе, основаны на ошибочном толковании норм права, не свидетельствуют о неправильном применении судами норм материального и процессуального права, повлиявшем на исход дела или допущенной судебной ошибке и не могут служить основанием для передачи жалобы на рассмотрение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отделу по вопросам семьи и детства администрации муниципального образования Курганинский район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