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Гарантийный фонд Воронежской области (далее – фонд) обратился в суд с заявлением о признании его требования, установленного определением Арбитражного суда Воронежской области от 08.07.2019, обеспеченным залогом следующего имущества: 1/4 доли в праве общей долевой собственности на земельный участок, площадью 1 298 кв. м, кадастровый номер 36:05:0100101:8 и 1/4 доли в праве общей долевой собственности на жилой дом, площадью 212,8 кв. м, кадастровый номер 36:05:0100101:42, расположенные по адресу: Воронежская область, г. Бутурлиновка, ул. 3 Интернационала, 4. Определением Арбитражного суда Воронежской области от 20.01.2020, оставленным без изменения постановлениями Девятнадцатого арбитражного апелляционного суда от 29.06.2020 и Арбитражного суда Центрального округа от 22.09.2020, заявление удовлетворено.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заявление фонда, суд первой инстанции руководствовался статьями 337, 339 Гражданского кодекса Российской Федерации, статьёй 33 Семейного кодекса Российской Федерации, статьями 213.25, 213.26 Федерального закона от 26.10.2002 № 127-ФЗ «О несостоятельности (банкротстве)», разъяснениями, приведёнными в постановлении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и исходил из обстоятельств приобретения заложенного имущества в период брака должником и её супругом, которые являются содолжниками перед фондом, возникновения у последнего в установленном порядке статуса залогодержателя и недоказанностью прекращения залоговых правоотношений сторон. Суды апелляционной инстанции и округа согласились впоследствии с выводами суда первой инстанции.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Королеву Михаилу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