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третью очередь реестра требований кредиторов должника его требований в размере 27 931 520 рублей 60 копеек, из которых 19 912 374 рублей 60 копеек - основной долг, 105 699 рублей 25 копеек - проценты за пользование чужими денежными средствами, 7 913 446 рублей 75 копеек убытки. Определением Арбитражного суда Самарской области от 17.01.2020, оставленным без изменения постановлениями Одиннадцатого арбитражного апелляционного суда от 04.06.2020 и Арбитражного суда Поволжского округа от 14.08.2020,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его требований 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196, 199, 200, 702, 720, 753 Гражданского кодекса Российской Федерации, статьями 100, 142 Федерального закона от 26.10.2002 № 127-ФЗ «О несостоятельности (банкротстве)», пунктом 15 постановления Пленума Верховного Суда Российской Федерации от 29.09.2015 № 43 «О некоторых вопросах применения норм Гражданского кодекса Российской Федерации об исковой давности», исходили из пропуска заявителем срока исковой давности при обращении с заявленным требованием, не представившим доказательств его прерывания, в связи с чем отказали в удовлетворении заявления.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«Базис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