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предоставлении отсрочки по уплате государственной пошлины.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333.22 и пунктом 1 статьи 333.41 Налогового кодекса Российской Федерации. Оценив доводы, изложенные обществом в ходатайстве, и приложенные к нему документы, судья приходит к выводу о наличии оснований для удовлетворения заявленного ходатайства, поскольку обществом представлены доказательства отсутствия у него возможности уплатить государственную 2 пошлину в установленном порядке и размере при обращении с настоящей кассационной жалобой. На основании изложенного, руководствуясь статьями 102, 184, 185, 291.3 Арбитражного процессуального кодекса Российской Федерации, статьями 64,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«АСКА»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