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25.11.2020 обратилось в Верховный Суд Российской Федерации с кассационной жалобой, одновременно заявив ходатайство о восстановлении пропущенного процессуального срока на ее подачу. Согласно части 2 статьи 291.2 Арбитражного процессуального кодекса Российской Федерации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2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срока уважительными. Рассмотрев заявленное ходатайство, судья не находит оснований для его удовлетворения. Доводы общества о пропуске срока подачи жалобы в связи с поздним получением заверенных копий обжалуемых судебных актов о наличии уважительных причин не свидетельствуют. Заявитель является инициатором подачи кассационной жалобы, его представитель принимал участие в судебном заседании суда кассационной инстанции. Поскольку заявитель знал о состоявшемся постановлении суда округа, при той степени заботливости и разумной осмотрительности, какая от него требовалась как от добросовестного участника процесса, он имел возможность ознакомиться с его содержанием и достаточный промежуток времени для своевременного принятия решения по вопросу обжалования судебного акта, подготовки и подачи кассационной жалобы в предусмотренный законодательством срок. Заявитель имел также возможность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С учетом положения части 6 статьи 291.3 Арбитражного процессуального кодекса Российской Федерации о том, что документы, прилагаемые к кассационной жалобе, могут быть представлены в Судебную коллегию Верховного Суда Российской Федерации в электронном виде, правило пункта 1 части 5 статьи 291.3 названного Кодекса о заверении соответствующим судом 3 прилагаемых к кассационной жалобе копий обжалуемых судебных актов и других судебных актов, принятых по делу, при подаче кассационной жалобы не применяется. Заявитель не доказал принятие достаточных мер в целях недопущения пропуска процессуального срока обжалования судебных актов. Необоснованное восстановление пропущенного процессуального срока может привести к нарушению принципа правовой определенности и соответствующих процессуальных гарантий.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Руководствуясь статьями 117, 184, 185, 291.2,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«Юпитер» о восстановлении пропущенного срока отказать, кассационную жалобу возвратить заявителю.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