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28.11.2020 направило в Верховный Суд Российской Федерации кассационную жалобу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Рассмотрев ходатайство о восстановлении срока, судья Верховного Суда Российской Федерации не находит оснований для его удовлетворения. В качестве причины пропуска срока указано на ошибочное направление первоначальной кассационной жалобы в адрес суда первой инстанции, и ее возвращение судом. Между тем, направление первоначальной кассационной жалобы по истечении срока на ее подачу (05.10.2020 согласно приложенной заявителем копии конверта), и последующее возвращение этой жалобы судом первой инстанции, сами по себе не свидетельствуют об уважительности причины пропуска срока и не могут продлевать процессуальный срок подачи кассационной жалобы в Судебную коллегию Верховного Суда Российской Федерации. Обстоятельств, препятствующих обществу обратиться в Верховный Суд Российской Федерации с кассационной жалобой в установленный срок (до 14.09.2020), в настоящем ходатайстве не приведено.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акционерного общества «Приморско- Ахтарский молочный завод» о восстановлении пропущенного срока отказать, кассационную жалобу возвратить заявителю.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