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16.03.2020, оставленным без изменения постановлением Девятого арбитражного апелляционного суда от 17.06.2020, в удовлетворении иска отказано. Арбитражный суд Московского округа постановлением от 03.09.2020 решение от 16.03.2020 и постановление Девятого арбитражного апелляционного суда от 17.06.2020 оставил без изменения. В кассационной жалобе общество «Домашний интерьер» просит об отмене судебных актов, ссылаясь на отсутствие документа о возврате товара с хранения.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2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истец стал новым арендатором склада, на котором хранился товар, в связи с чем договор хранения от 06.05.2018 № 432/18 прекратился. Последствия несвоевременного истребования по истечении срока хранения товара суды не возложили на ответчика в соответствии с пунктом 1 статьи 899, пунктом 2 статьи 901 Гражданского кодекса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«Домашний интерьер»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