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07.02.2020, оставленным без изменения постановлением Девятого арбитражного апелляционного суда от 02.07.2020 и постановлением Арбитражного суда Московского округа от 06.10.2020, в удовлетворении иска отказано. В кассационной жалобе предприниматель просит об отмене судебных актов, ссылаясь на игнорирование судами изменения фактических обстоятельств недействительности договора, заявленных ходатайств, интереса в оспаривании уступки, отсутствия преюдиции.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Нерассмотренным судом основанием для признания сделки недействительной предприниматель считает ее безвозмездный характер. Между тем возмездность уступки не составляет условий, необходимых для оценки ее юридической силы ни в силу закона, ни в силу судебной практики. Кроме того, возмездный характер уступки установлен в рамках других дел, игнорировать установленные в которых обстоятельства в рассматриваемом деле суды были не вправе. Мотивы отклонения других доводов нашли отражение в постановлении окружного суда и такие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предпринимателю-главе крестьянского (фермерского) хозяйства Гасанову Гасану Магомедовичу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