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27.06.2019 иск удовлетворен. Постановлением Седьмого арбитражного апелляционного суда от 26.03.2020, оставленным без изменения постановлением Арбитражного суда Западно-Сибирского округа от 06.08.2020, решение отменено, в иске отказано. В кассационной жалобе общество «Перспектива» просит об отмене судебных актов апелляционного и окружного судов, ссылаясь на неосновательное восстановление срока на апелляционное обжалование решения, отсутствие договора и принятие недопустимых доказательств наличия субподрядных отношений.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Восстановление срока на апелляционное обжалование находится в компетенции суда (часть 2 статьи 259 Арбитражного процессуального кодекса Российской Федерации). Апелляционный суд, повторно рассмотревший дело, установил наличие между сторонами фактических субподрядных отношений, в связи с которыми производилось перечисление денежных средств, поэтому не признал у спорной суммы признаков неосновательного обогащение в соответствии со статей 1102 Гражданского кодекса Российской Федерации. Требуемая в жалобе переоценка выводов судов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«Перспектива»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