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«Хеппи Инвест Аренда» удовлетворить. Срок подачи кассационной жалобы на постановление Одиннадцатого арбитражного апелляционного суда от 25.05.2020 и постановление Арбитражного суда Поволжского округа от 02.09.2020 по делу № А55-12577/2018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