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13.02.2020, оставленным без изменения постановлениями Четвертого арбитражного апелляционного суда от 27.05.2020 и Арбитражного суда Восточно-Сибирского округа от 26.08.2020, заявленное требование удовлетворено. В кассационной жалобе управление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представлением на отдел возложена обязанность устранить бюджетные нарушения, обусловленные применением к денежному довольствию сотрудников отдела процентных надбавок (до 50 процентов) за службу в местностях, приравненных к районам Крайнего Севера, вместо применения процентных надбавок за службу в южных районах Восточной Сибири и Дальнего Востока (до 30 процентов). Удовлетворяя заявленное требование, суды, исследовав и оценив представленные в материалы дела доказательства, руководствуясь положениями Трудового кодекса Российской Федерации, Федерального закона от 19.07.2011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Федерации», постановлением Правительства Российской Федерации от 30.12.2011 № 1237 «О размерах коэффициентов и процентных надбавок и порядке их применения для расчета денежного довольствия военнослужащих, проходящих военную службу по контракту, и сотрудников некоторых федеральных органов исполнительной власти, проходящих военную службу (службу) в районах Крайнего Севера и приравненных к ним местностях, а также в других местностях с неблагоприятными климатическими или экологическими условиями, в том числе отдаленных местностях, высокогорных районах, пустынных и безводных местностях» (далее – Постановление № 1237), Положением о Межмуниципальном отделе Министерства внутренних дел Российской Федерации «Северобайкальский» (реализующий задачи и функции органов внутренних дел на территории городского округа город Северобайкальск и Северо-Байкальского муниципального района), утвержденным приказом Министерства внутренних дел по Республике Бурятия от 18.08.2017 № 716, пришли к выводу о том, что оспариваемый пункт представления не соответствует требованиям действующего законодательства, нарушает права и законные интересы заявителя. Судебные инстанции исходили из наличия у сотрудников отдела права на получение процентной надбавки к денежному довольствию в размере до 50 процентов в связи с несением службы в районах, приравненных к районам Крайнего Севера. При исследовании обстоятельств дела установлено, что сотрудники отдела дислоцируются в городе Северобайкальске, но осуществляют деятельность на всей территории Северо-Байкальского района. 3 Суды отметили, что примененный управлением подход в отношении сотрудников, дислоцированных в городе Северобайкальске, но осуществляющих деятельность на всей территории Северо-Байкальского района, в результате структурно-организационной специфики деятельности отдела, свидетельствует о неравном правовом положении таких лиц.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основаны на ином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Республике Бурятия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