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«Юридическое бюро. Недвижимость и Право» (далее – Общество)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Дроздову Юрию Викторовичу о взыскании 3 762 868 рублей 81 копейки убытков. Решением Арбитражного суда Московской области от 18.12.2020, оставленным без изменения постановлением Десятого арбитражного апелляционного суда от 09.06.2020 и постановлением Арбитражного суда Московского округа от 27.08.2020,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доказанность факта неоприходования полученных ответчиком по соглашениям наличных денежных средств. В соответствии с частью 1 статьи 291.1, частью 7 статьи 291.6 и статьей 291.11 АПК РФ, кассационная жалоба подлежит передаче для рассмотрения в 2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просит взыскать с ответчика 3 726 670 рублей убытков в виде фактически полученных бывшим генеральным директором денежных средств по 164 соглашениям об оказании услуг в период с 2016 года по 2019 год, а также 36 198 рублей 81 копейки- убытков, понесенных в связи с выплатой ответчику заработной платы и компенсации за неиспользованный отпуск, поскольку для выплаты указанной суммы Общество было вынуждено заключить договор займа.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3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заявленных требований, придя к выводу об отсутствии необходимой совокупности условий для привлечения Дроздова Ю.В. к гражданско-правовой ответственности в виде возмещения убытков. Судебные инстанции правомерно указали, что сами по себе соглашения не могут однозначно свидетельствовать о получении ответчиком денежных средств по ним без соответствующих документов первичной бухгалтерской отчетности, подтверждающих движение денежных средств или факт совершения конкретной хозяйственной операции. Кроме того, суды отметили, что истец не доказал факт исполнения Обществом услуг по указанным соглашениям. Отказывая в удовлетворении требований в части взыскания 36 198 рублей 81 копейки, суды исходили из того, что заключение Обществом договора займа для выплаты ответчику заработной платы и компенсации за неиспользованный отпуск не может быть квалифицировано как убытки, является расходами истца, предусмотренными действующим трудовым законодательством.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«Юридическое бюро. Недвижимость и Право»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