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«Первая Дальневосточная транспортная компания» обратилось в Арбитражный суд Хабаровского края с иском о взыскании с общества с ограниченной ответственностью «Охотская горно-геологическая компания» (замененного судом в порядке статьи 48 Арбитражного процессуального кодекса Российской Федерации на акционерное общество «Охотская горно-геологическая компания») 5 469 863 рублей 97 копеек задолженности по договору перевозки груза автомобильным транспортом. Решением Арбитражного суда Хабаровского края от 06.02.2020 иск удовлетворен. Постановлением Шестого арбитражного апелляционного суда от 17.06.2020 решение суда первой инстанции оставлено без изменения. Арбитражный суд Дальневосточного округа постановлением от 25.08.2020 указанные судебные акты оставил без изменения. 2 Акционерное общество «Охотская горно-геологическая компания»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признав доказанным факт оказания истцом услуг ответчику и отсутствие доказательств оплаты оказанных услуг с учетом увеличения стоимости дизельного топлива в части изменившейся топливной составляющей, руководствуясь положениями статей 779, 781, 785 Гражданского кодекса Российской Федерации, суды сделали вывод об обоснованности иска.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«Охотская горно-геологическая компания»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