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27.11.2020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ходатайство о восстановлении срока, оснований для его удовлетворения не установлено, поскольку внутренние организационные проблемы юридического лица, обратившегося с кассационной жалобой, не являются причинами, не зависящими от лица, обратившегося с такой жалобой, и не могут рассматриваться в качестве уважительных причин пропуска срока. Иных причин, объективно препятствовавших заявителю своевременно обжаловать судебные акты, не приведено.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Восстановление пропущенного срока на подачу кассационной жалобы в отсутствие уважительных причин пропуска такого срока в нарушение части 3 статьи 8 Кодекса ставит одну из сторон в преимущественное положение. При таких обстоятельствах ходатайство о восстановлении пропущенного процессуального срока подлежит оставлению без удовлетворения, а кассационная жалоба - возвращению заявителю.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государственного бюджетного образовательного учреждения высшего образования «Оренбургский государственный университет»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