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14.02.2020, оставленным без изменения постановлением Второго арбитражного апелляционного суда от 15.06.2020, иск удовлетворен. 2 Постановлением Арбитражного суда Волго-Вятского округа от 08.09.2020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статьями 309, 310, 450, 452, 525, 526 Гражданского кодекса Российской Федерации,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признали доказанным существенное нарушение учреждением условий контракта, и удовлетворили требование о расторжении контракта. Доводы кассационной жалобы были предметом исследования судов и получили исчерпывающую правовую оценку с учетом анализа условий контракта, переписки и поведения сторон после выявления недостатков товара,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