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28.11.2019, оставленным без изменения постановлением Тринадцатого арбитражного апелляционного суда от 17.03.2020 и постановлением Арбитражного суда Северо-Западного округа от 16.09.2020, в удовлетворении заявленных требований отказано. 2 В кассационной жалобе, поданной в Верховный Суд Российской Федерации, администрация, ссылаясь на существенные нарушения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16.10.2018 в антимонопольный орган поступила жалоба общества на неправомерные действия администрации, выразившиеся в непроведении открытого конкурса по отбору управляющей организации для управления многоквартирными домами. По результатам рассмотрения жалобы управлением выдано администрации предупреждение от 15.01.2019 № 07 о необходимости прекращения в срок до 24.03.2019 действий (бездействия), которые содержат признаки нарушения антимонопольного законодательства путем проведения организационных мероприятий, направленных на объявление открытого конкурса по отбору управляющей организации для управления многоквартирным домом. Неисполнение предупреждения послужило основанием для возбуждения антимонопольным органом дела по признакам нарушения администрацией части 1 статьи 15 Федерального закона от 26.07.2006 № 135-ФЗ «О защите конкуренции» (далее - Закон о защите конкуренции). Решением управления от 09.07.2019 бездействие администрации признано нарушающим часть 1 статьи 15 Закона о контрактной системе, выдано предписание об устранении выявленного нарушения. Несогласие с решением и предписанием антимонопольного органа послужило основанием для обращения администрации в арбитражный суд. Оценив представленные в материалы дела доказательства, суды первой и апелляционной инстанций, руководствуясь положениями Закона о защите конкуренции,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пришли к выводу о том, что акты управления соответствуют положениям законодательства и не нарушают права и законные интересы заявителя, с чем согласился суд округа. 3 При рассмотрении дела судами установлено, что суммарная доля субъекта Российской Федерации - Калининградской области, муниципального образования - Багратионовский городской округ в праве собственности на общее имущество в многоквартирном доме составляет 56,5 процентов. Таким образом, в рассматриваемом случае выбор способа управления многоквартирным домом осуществляется на основании договора управления данным домом, заключенного с управляющей организацией, выбранной по результатам открытого конкурса. На территории муниципального образования управление многоквартирными домами осуществляют четыре управляющие организации, имеющие лицензии на осуществление деятельности по управлению многоквартирными домами; данный рынок на территории муниципального образования является конкурентным. Установив указанные обстоятельства, суды поддержали вывод антимонопольного органа о наличии в действиях администрации спорного бездействия, при этом отметив, что проведение отбора управляющих компаний на открытом конкурсе необходимо в целях обеспечения конкуренции, равного доступа на рынок управления многоквартирными домами хозяйствующих субъектов, соответствующих установленным критериям.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«Багратионовский городской округ»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