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 Терехов А.А. и Соколов Алексей Владимирович обратились в суд с заявлением о пересмотре по вновь открывшимся обстоятельствам определения Арбитражного суда Кемеровской области от 16.04.2018 в части включения в реестр требований кредиторов должника требования Федеральной налоговой службы (далее – уполномоченный орган) требования о возмещении ущерба окружающей среде в размере 87 095 576 рублей 68 копеек. Определением Арбитражного суда Кемеровской области от 26.05.2020 (в редакции определения того же суда первой инстанции от 05.06.2020 об исправлении опечатки), оставленным без изменения постановлениями Седьмого арбитражного апелляционного суда от 23.07.2020 и Арбитражного суда Западно-Сибирского округа от 24.09.2020,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руководствовался положениями статей 309-312 Арбитражного процессуального кодекса Российской Федерации, пунктом 4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приводимые в нём обстоятельства являлись предметом исследования в обособленном споре при проверке обоснованности требования уполномоченного органа, не свидетельствовали о наличии существенных и вновь открывшихся для дела обстоятельств, которые ранее не были предметом судебного разбирательства по настоящему делу и способны повлиять на выводы суда при принятии указанного для пересмотра судебного акта. С указанными выводами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Терехову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