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«Шанс» обратилось в Арбитражный суд Новгородской области с иском о взыскании с общества с ограниченной ответственностью «Валдайавтотехсервис» 3 625 400 рублей убытков, в том числе 2 395 500 рублей стоимости седельного тягача и 1 229 900 рублей стоимости прицепа. К участию в деле в качестве третьего лица, не заявляющего самостоятельных требований относительно предмета спора, привлечен Зензеров Евгений Михайлович. Решением Арбитражного суда Новгородской области от 06.02.2020 иск удовлетворен. Постановлением Четырнадцатого арбитражного апелляционного суда от 07.07.2020 решение суда первой инстанции оставлено без изменения. Арбитражный суд Северо-Западного округа постановлением от 19.10.2020 указанные судебные акты оставил без изменения. 2 Общество с ограниченной ответственностью «Валдайавтотехсервис»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нахождения транспортных средств истца на территории ответчика, которая является обособленной и охраняемой, установив также факт хищения транспортных средств истца с территории, охраняемой ответчиком, руководствуясь положениями статей 15, 161, 162, 393, 433, 434, 438, 886, 887 Гражданского кодекса Российской Федерации, Правилами оказания услуг автостоянок, утвержденными постановлением Правительства Российской Федерации от 17.11.2001 № 795, суды пришли к выводу, что между сторонами фактически сложились отношения по хранению, в силу чего ответчик, не обеспечивший надлежащий контроль за охраняемой территорией, охраной товарно-материальных ценностей, несет ответственность за кражу с территории автостоянки имущества истца неустановленным лицом. Доводы жалобы, с учетом установленных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судами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«Валдайавтотехсервис»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