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внешний управляющий Семенов Владимир Павлович обратился в суд с заявлением о признании недействительной сделкой соглашения от 28.07.2017 о зачёте встречных однородных требований, заключенного между должником и Карамшуком Д.В., и о применении последствий недействительности сделки. Определением Арбитражного суда Московской области от 23.12.2019, оставленным без изменения постановлениями Десятого арбитражного апелляционного суда от 01.06.2020 и Арбитражного суда Московского округа от 07.08.2020, заявление удовлетворено, применены последствия недействительности сделки в виде восстановления у должника права требования к Карамшуку Д.В. по договору от 25.03.2016 № 4/373/34-27 участия в долевом строительстве многоквартирного дома по адресу: Московская область, г. Истра, в восточной части, д. 34.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61.3 Федерального закона от 26.10.2002 № 127-ФЗ «О несостоятельности (банкротстве)», установив, что сделка была совершена в пределах месяца до принятия заявления о признании должника банкротом, за пределами обычной хозяйственной деятельности, пришли к выводу об обоснованности заявления, указав на следствие сделки – изменение очередности удовлетворения требований Карамшука Д.В. по обязательствам, возникшим до её совершения, при этом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Карамшуку Дмитрию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