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 , 184 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«Дорос» удовлетворить. Срок подачи кассационной жалобы на решение Арбитражного суда Пермского края от 30.12.2019 по делу № А50-26186/2018, постановление Семнадцатого арбитражного апелляционного суда от 12.03.2020 и постановление Арбитражного суда Уральского округа от 30.07.2020 по тому же делу восстановить. Судья Верховного Суда Российской Федерации Е.Н. Зарубина Суд: Верховный Суд РФ (подробнее) Истцы: ООО "СК-строй" (подробнее) Ответчики: ООО "Дорос" (подробнее) Иные лица: ИФНС России по Дзержинскому району г.Перми (подробнее) ООО "Альтернатива" (подробнее) ООО "Интер" (подробнее) ООО "Лукойл-Пермь" (подробнее) ООО "ТЕРРА ПЕРМЬ"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