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25.11.2020 № 305-ЭС19-14119 (11)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в третьем абзаце описательной части допущена опечатка: неверно указана дата определения Арбитражного суда Московского округа от 27.07.2020. В соответствии со статьей 184, частью 3 статьи 179 Арбитражного процессуального кодекса Российской Федерации эта опечатка подлежит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Крымцова Юрия Алексеевича удовлетворить. Внести исправления в третий абзац описательной части определения Верховного Суда Российской Федерации от 25.11.2020 № 305-ЭС19-14119 (11). Вместо «Определением Арбитражного суда Московского округа от 20.07.2020 в удовлетворении заявления отказано.» читать «Определением Арбитражного суда Московского округа от 27.07.2020 в удовлетворении заявления отказано.».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