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«Строительная компания «Клевер» (далее – общество) обратилось в суд с заявлением о признании должника несостоятельным (банкротом). Определением Арбитражного суда Челябинской области от 14.08.2020, оставленным без изменения постановлением Восемнадцатого арбитражного апелляционного суда от 15.09.2020, заявление принято к производству, возбуждено производство по делу о банкротстве должника. В кассационной жалобе, поданной в Верховный Суд Российской Федерации, заявитель просит отменить указанные судебные акты и прекратить производство по делу.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Принимая заявление общества к производству, суд первой инстанции, руководствуясь статьями 32, 40, 41, 44 Федерального закона от 26.10.2002 № 127-ФЗ «О несостоятельности (банкротстве)», исходил из обстоятельств устранения обществом недостатков, послуживших основанием для оставления заявления без движения, в связи с чем признал его поданным с соблюдением требований законодательства о несостоятельности. Поддерживая данные выводы, апелляционный суд пришел к выводу о том, что допущенное обществом нарушение установленного законом порядка раскрытия информации не привело к нарушению прав и законных интересов иных лиц, поскольку на момент принятия заявления общества соответствующее право у него уже возникло, аналогичные заявления и сообщения иных лиц о намерении банкротить должника, в том числе доказательства злоупотребления обществом правом, отсутствовали. Выводы судов первой и апелляционной инстанции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«Олимп»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"СТРОИТЕЛЬНАЯ КОМПАНИЯ "КЛЕВЕР" (подробнее) Ответчики: ООО "ОЛИМП" (подробнее) Иные лица: Саморегулируемая межрегиональная "Ассоциация антикризисных управляющих"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