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«Коммерческий банк «Рублев» (далее – банк) обратилось в суд с заявлением о включении в реестр требований кредиторов должника (далее – реестр) 405 561 070 рублей задолженности, 79 271 521 рубля 27 копеек процентов, из них 187 602 273 рублей 29 копеек как обеспеченные залогом имущества должника. Определением Арбитражного суда города Москвы от 27.03.2020, оставленным без изменения постановлениями Девятого арбитражного апелляционного суда от 13.08.2020 и Арбитражного суда Московского округа от 01.10.2020, требование банка включено в третью очередь реестра. В кассационной жалобе, поданной в Верховный Суд Российской Федерации, заявитель просит отменить указанные судебные акты в части включения в третью очередь реестра следующих требований банка: суммы основного долга в размере 108 118 944 рублей 73 копеек и суммы задолженности по процентам в размере 22 458 819 рублей 41 копейки по договору кредитной линии от 30.04.2013 №39-КЛ; суммы основного долга в размере 4 775 000 рублей и суммы задолженности по процентам в размере 799 191 рубля 09 копеек по кредитному договору от 24.08.2016 № 66-КЛ, как обеспеченных залогом имущества Должника – 9 земельными участками; 2 суммы основного долга в размере 27 500 000 рублей и суммы задолженности по процентам в размере 4 528 082 рублей 19 копеек по кредитному договору 02.09.2014 № 67-КД, как обеспеченных залогом имущества должника - земельным участком по адресу: Московская область, Солнечногорский район, вблизи д. Задорино, номер участка 22, кадастровый номер 50:09:0050626:1238, площадью 246 212 кв.м.; суммы основного долга в размере 7 050 000 рублей и суммы задолженности по процентам в размере 633 534 рублей 24 копеек по кредитному договору от 20.11.2017 № 87-КД; суммы основного долга в размере 22 026 633 рублей и суммы задолженности по процентам в размере 1 810 408 рублей 17 копеек по кредитному договору от 18.12.2017 № 101-КД. В данной части заявитель просит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10 Гражданского кодекса Российской Федерации, статьями 19, 71, 100 Федерального закона от 26.10.2002 № 127-ФЗ «О несостоятельности (банкротстве)», исходили из того, что связь банка с должником и его учредителями не доказана; последний фактически предоставил должнику денежные средства, а тот их получил, что исключает мнимость сделки; источником финансирования выданного должнику кредита являлись вкладчики банка, в связи с чем пришли к выводам о невозможности переквалификации отношений сторон в корпоративные с последующей субординацией обязательств должника перед банком банкротом как влекущей нарушение прав и законных интересов его независимых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участнику общества с ограниченной ответственностью «Зеленая поляна» Виняру Михаилу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