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в реестр требований кредиторов должника требования в сумме 4 705 176 рублей 11 копеек, в том числе: просроченной ссудной задолженности по основному долгу в размере 4 145 293 рублей 10 копеек, пени за кредит в размере 409 044 рублей 94 копеек, пени за проценты в размере 1 908 рублей 80 копеек, расходы на оценку в размере 82 500 рублей, расходы на оплату третейского сбора в размере 66 429 рублей 27 копеек, как обеспеченного залогом имущества должника. Определением Арбитражного суда Самарской области от 23.12.2019, оставленным без изменения постановлениями Одиннадцатого арбитражного апелляционного суда от 30.06.2020 и Арбитражного суда Поволжского округа от 22.09.2020, требование, как обеспеченное залогом имущества должника, включено в реестр в состав требований кредиторов третьей очереди.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требование и включая его в реестр, суды, руководствуясь статьями 334, 335, 341, 353 Гражданского кодекса Российской Федерации, статьями 100, 142 Федерального закона от 26.10.2002 № 127-ФЗ «О несостоятельности (банкротстве)», пунктом 27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его документальной подтвержденности, существования на день рассмотрения обоснованности заявления и отсутствия оснований для прекращения залога в пользу банка как добросовестного залогодержателя.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по предоставлению социально-правовых услуг населению и развитию социального предпринимательства «Финансовая кладовая»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