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26.11.2020 (согласно информации о почтовом отправлении с официального сайта АО «Почта России»)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В обоснование ходатайства заявитель ссылается на отсутствие вины в пропуске установленного срока в связи с несвоевременным направлением судом первой инстанции копий судебных актов, необходимых для подачи настоящей кассационной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11.08.2020, срок на обжалование которого истек 12.10.2020. 2 Обратившись с кассационной жалобой 26.11.2020,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разъяснено, что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Предприниматель был извещен о судебном разбирательстве в суде первой инстанции, обращался с жалобами в апелляционный суд и суд округа. С полным текстом последнего обжалуемого судебного акта - постановлением суда округа от 11.08.2020 заявитель мог ознакомиться 12.08.2020 в общедоступной автоматизированной информационной системе в сети Интернет http://kad.arbitr.ru. 3 При той степени заботливости и разумной осмотрительности, какая требуется от участвующих в деле лиц как от добросовестных участников процесса, с указанной даты публикации судебного акта заявитель имел достаточный промежуток времени для своевременного принятия решения по вопросу обжалования судебных актов, подготовки и подачи кассационной жалобы в предусмотренный законодательством срок. Предпринимателем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 момента опубликования судом округа обжалуемого постановления заявитель также имел достаточное количество времени для обращения с жалобой в предусмотренный законодательством срок, в том числе и путем подачи жалобы в электронном виде. При этом частями 1 и 6 статьи 291.3 АПК РФ предусмотрено, что кассационная жалоба может быть подана посредством заполнения формы, размещенной на официальном сайте арбитражного суда в информационно- телекоммуникационной сети Интернет, с приложением необходимых документов, в том числе обжалуемых судебных актов в электронном виде.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Муратовой Светлане Михайловне в удовлетворении ходатайства о восстановлении пропущенного процессуального срока. Кассационную жалобу на определение Арбитражного суда Самарской области от 04.03.2020, постановление Одиннадцатого арбитражного апелляционного суда от 20.05.2020 и постановление Арбитражного суда Поволжского округа от 11.08.2020 по делу № А55-38191/2019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