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«Экологические технологии» обратилось в Арбитражный суд Кемеровской области с иском о взыскании с общества с ограниченной ответственностью «Торговый дом «Паутина» 62 779 рублей 17 копеек долга за оказанные услуги по обращению с твердыми коммунальными отходами за период с июля 2018 года по февраль 2019 года и 10 960 рублей 19 копеек пени. К участию в деле в качестве третьего лица, не заявляющего самостоятельных требований относительно предмета спора, привлечен Борцов Алексей Валерьевич. Решением Арбитражного суда Кемеровской области от 20.02.2020 иск удовлетворен в части взыскания 62 779 рублей 17 копеек долга за оказанные услуги и 10 129 рублей 40 копеек пени; в удовлетворении иска в остальной части отказано. Постановлением Седьмого арбитражного апелляционного суда от 18.06.2020 решение суда первой инстанции оставлено без изменения. 2 Арбитражный суд Западно-Сибирского округа постановлением от 18.09.2020 указанные судебные акты оставил без изменения. Общество с ограниченной ответственностью «Торговый дом «Паутина»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истец приобрел статус регионального оператора по обращению с твердыми коммунальными отходами в результате заключения с Департаментом жилищно-коммунального и дорожного комплекса Кемеровской области соглашения от 27.10.2017, учитывая обязанность собственника твердых коммунальных отходов или уполномоченного им лица заключить с региональным оператором договор на оказание услуг по обращению с твердыми коммунальными отходами, установив факт оказания истом услуг по обращению с твердыми коммунальными отходами, руководствуясь положениями статей 309, 310, 779 Гражданского кодекса Российской Федерации, статьей 24.7 Федерального закона от 24.06.1998 № 89-ФЗ «Об отходах производства и потребления», пунктами 4, 8 Правил обращения с твердыми коммунальными отходами, утвержденными постановлением Правительства Российской Федерации от 12.11.2016 № 1156, постановлением Региональной энергетической комиссии Кемеровской области от 27.04.2017 № 58 «Об установлении нормативов накопления твердых коммунальных отходов», постановлением Региональной энергетической комиссии Кемеровской области от 05.06.2018 № 100 «Об утверждении производственной программы в области обращения с ТКО и об утверждении единых тарифов на услугу регионального оператора по обращению с ТКО 3 ООО «ЭкоТек», суды пришли к выводу об обязанности ответчика оплачивать оказанные услуги по утвержденным тарифам и нормативам накопления.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«Паутина»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